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A3" w:rsidRPr="006235A3" w:rsidRDefault="006235A3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Cs w:val="28"/>
          <w:lang w:val="uk-UA"/>
        </w:rPr>
      </w:pPr>
      <w:r w:rsidRPr="006235A3">
        <w:rPr>
          <w:rFonts w:ascii="Times New Roman" w:hAnsi="Times New Roman" w:cs="Times New Roman"/>
          <w:color w:val="auto"/>
          <w:kern w:val="28"/>
          <w:szCs w:val="28"/>
          <w:lang w:val="uk-UA"/>
        </w:rPr>
        <w:t>П</w:t>
      </w:r>
      <w:r w:rsidRPr="006235A3">
        <w:rPr>
          <w:rFonts w:ascii="Times New Roman" w:hAnsi="Times New Roman" w:cs="Times New Roman"/>
          <w:color w:val="auto"/>
          <w:kern w:val="28"/>
          <w:szCs w:val="28"/>
          <w:lang w:val="uk-UA"/>
        </w:rPr>
        <w:t>рактик</w:t>
      </w:r>
      <w:r w:rsidRPr="006235A3">
        <w:rPr>
          <w:rFonts w:ascii="Times New Roman" w:hAnsi="Times New Roman" w:cs="Times New Roman"/>
          <w:color w:val="auto"/>
          <w:kern w:val="28"/>
          <w:szCs w:val="28"/>
          <w:lang w:val="uk-UA"/>
        </w:rPr>
        <w:t>а</w:t>
      </w:r>
      <w:r w:rsidRPr="006235A3">
        <w:rPr>
          <w:rFonts w:ascii="Times New Roman" w:hAnsi="Times New Roman" w:cs="Times New Roman"/>
          <w:color w:val="auto"/>
          <w:kern w:val="28"/>
          <w:szCs w:val="28"/>
          <w:lang w:val="uk-UA"/>
        </w:rPr>
        <w:t xml:space="preserve"> </w:t>
      </w:r>
      <w:bookmarkStart w:id="0" w:name="_GoBack"/>
      <w:bookmarkEnd w:id="0"/>
      <w:r w:rsidRPr="006235A3">
        <w:rPr>
          <w:rFonts w:ascii="Times New Roman" w:hAnsi="Times New Roman" w:cs="Times New Roman"/>
          <w:color w:val="auto"/>
          <w:kern w:val="28"/>
          <w:szCs w:val="28"/>
          <w:lang w:val="uk-UA"/>
        </w:rPr>
        <w:t>розгляду дисциплінарних скарг про вчинення прокурором дисциплінарного проступку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Ураховуючи важливість та актуальність проблеми додержання правил прокурорської етики, беручи до уваги, що недотримання етичних норм унеможливлює належне виконання прокурором своїх службових обов’язків, 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Комісією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вивчен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о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практик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у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розгляду дисциплінарних скарг про вчинення прокурором дисциплінарного проступку, пов’язаного з порушенням правил прокурорської етики, за 2020 – 2021 роки та І півріччя 2022 року.</w:t>
      </w:r>
    </w:p>
    <w:p w:rsidR="002A26B8" w:rsidRPr="00CD07D7" w:rsidRDefault="0031491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auto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Д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исциплінарне провадження стосовно прокурорів у 2020 – 2021 роках та за поточний період 2022 року здійснювалося двома органами:</w:t>
      </w:r>
      <w:r w:rsidR="00CD07D7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кадровою комісією з розгляду дисциплінарних скарг про вчинення прокурором дисциплінарного проступку та здійснення дисциплінарного провадження щодо прокурорів, яку створено наказом Генерального прокурора від 09 січня 2020 року № 9</w:t>
      </w:r>
      <w:r w:rsid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(за період з січня </w:t>
      </w:r>
      <w:r w:rsidR="00CD07D7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2020 року до вересня 2021 року)</w:t>
      </w:r>
      <w:r w:rsid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,</w:t>
      </w:r>
      <w:r w:rsidR="00CD07D7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та </w:t>
      </w:r>
      <w:r w:rsidR="002A26B8" w:rsidRPr="00CD07D7">
        <w:rPr>
          <w:rFonts w:ascii="Times New Roman" w:hAnsi="Times New Roman" w:cs="Times New Roman"/>
          <w:b w:val="0"/>
          <w:color w:val="auto"/>
          <w:szCs w:val="28"/>
          <w:lang w:val="uk-UA"/>
        </w:rPr>
        <w:t>відповідним органом, що здійснює дисциплінарне провадження, який фактично розпочав свою діяльність 3 листопада 2021 року.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Пунктом 4 частини четвертої статті 19 Закону </w:t>
      </w:r>
      <w:r w:rsid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передбачено, що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прокурор зобов’язаний додержуватися правил прокурорської етики, зокрема не допускати поведінки, яка дискредитує його як представника прокуратури та може зашкодити авторитету прокуратури.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Згідно з пунктом 6 частини першої статті 43 Закону однією з підстав для притягнення прокурора до дисциплінарної відповідальності є систематичне (два або більше разів протягом одного року) або одноразове грубе порушення правил прокурорської етики.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Затверджений всеукраїнською конференцією прокурорів 27 квітня 2017 року Кодекс професійної етики та поведінки прокурорів (далі – Кодекс) визначає 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службою. Кодексом визначен</w:t>
      </w:r>
      <w:r w:rsid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о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основні принципи професійної етики та поведінки прокурорів: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верховенства права та законності;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поваги до прав і свобод людини і громадянина, недопущення дискримінації;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незалежності та самостійності;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політичної нейтральності;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презумпції невинуватості;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справедливості, неупередженості та об’єктивності;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професійної честі і гідності, формування довіри до прокуратури;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прозорості службової діяльності, конфіденційності;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утримання від виконання незаконних наказів та вказівок;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недопущення конфлікту інтересів;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компетентності та професіоналізму;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доброчесності, зразковості поведінки та дисциплінованості;</w:t>
      </w:r>
    </w:p>
    <w:p w:rsidR="002A26B8" w:rsidRPr="00CD07D7" w:rsidRDefault="002A26B8" w:rsidP="002B670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–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поваги до незалежності суддів.</w:t>
      </w:r>
    </w:p>
    <w:p w:rsidR="002A26B8" w:rsidRPr="00CD07D7" w:rsidRDefault="002A26B8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Також, Кодекс містить основні вимоги до позаслужбової поведінки прокурора (розділ ІІІ) та засади взаємовідносин прокурора з органами державної влади і місцевого самоврядування, правоохоронним органами, органами судової влади та іншими учасниками судочинства, засобами масової інформації, взаємовідносин у колективах прокуратур, керівного складу із підпорядкованими працівниками та з громадянами (розділ IV).</w:t>
      </w:r>
    </w:p>
    <w:p w:rsidR="002A26B8" w:rsidRPr="00CD07D7" w:rsidRDefault="00CD07D7" w:rsidP="007E74BD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/>
        <w:jc w:val="both"/>
        <w:rPr>
          <w:b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</w:r>
      <w:r w:rsidR="002A26B8" w:rsidRPr="00CD07D7">
        <w:rPr>
          <w:kern w:val="28"/>
          <w:sz w:val="28"/>
          <w:szCs w:val="28"/>
          <w:lang w:val="uk-UA"/>
        </w:rPr>
        <w:t>Загалом за 2020 – 2021 роки та І півріччя 2022 року до кадрової комісії та Комісії надійшло 2435 дисциплінарних скарг, з яких 509 – за пунктом 6 частини першої статті 43 Закону.</w:t>
      </w:r>
    </w:p>
    <w:p w:rsidR="002A26B8" w:rsidRPr="00CD07D7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drawing>
          <wp:inline distT="0" distB="0" distL="0" distR="0" wp14:anchorId="6E2583D4" wp14:editId="303F4AB0">
            <wp:extent cx="6191250" cy="28956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26B8" w:rsidRPr="002A26B8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</w:p>
    <w:p w:rsidR="002A26B8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2A26B8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drawing>
          <wp:inline distT="0" distB="0" distL="0" distR="0" wp14:anchorId="0721005B" wp14:editId="1817624D">
            <wp:extent cx="6048375" cy="2838615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6700" w:rsidRPr="002B6700" w:rsidRDefault="002B6700" w:rsidP="007E74BD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Питання можливого порушення правил прокурорської етики ставилося майже у кожній п’ятій дисциплінарній скарзі, які надходили у 2020 – 2021 роках. У поточному році така тенденція дещо змінилася – вказане питання порушується у майже кожній сьомій скарзі. Зазначене, серед іншого, можна пояснити </w:t>
      </w:r>
      <w:r w:rsidRP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універсальністю правил прокурорської етики, які стосуються широкого кола питань як у службовій діяльності прокурора, так і поза службою. Таким чином, чимало порушень (або можливих порушень) прокурором законодавства можуть тлумачитися як порушення тієї чи іншої статті Кодексу. У той же час, у багатьох випадках в дисциплінарних скаргах навіть не розкривається (не конкретизується) порушення правил прокурорської етики.</w:t>
      </w:r>
    </w:p>
    <w:p w:rsidR="002A26B8" w:rsidRPr="00CD07D7" w:rsidRDefault="002A26B8" w:rsidP="002A26B8">
      <w:pPr>
        <w:spacing w:before="240" w:after="16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shd w:val="clear" w:color="auto" w:fill="FFFFFF" w:themeFill="background1"/>
          <w:lang w:eastAsia="ru-RU"/>
        </w:rPr>
        <w:drawing>
          <wp:inline distT="0" distB="0" distL="0" distR="0" wp14:anchorId="5422E323" wp14:editId="59709446">
            <wp:extent cx="6096000" cy="31051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6B8" w:rsidRPr="00CD07D7" w:rsidRDefault="002B6700" w:rsidP="002B6700">
      <w:pPr>
        <w:spacing w:after="24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Д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исциплінарні скарги про вчинення прокурором дисциплінарного проступку, пов’язаного з порушенням правил прокурорської етики, стосувалися достатньо широкого спектру порушень (або можливих порушень) вимог Кодексу: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8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4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«Основні принципи професійної етики та поведінки прокурорів»;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0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5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«Верховенство права та законність»;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8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6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«Повага до прав і свобод людини і громадянина, недопущення дискримінації»;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4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9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«Презумпція невинуватості»;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5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10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tabs>
                <w:tab w:val="left" w:pos="426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«Справедливість, неупередженість та об’єктивність»;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255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11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«Професійна честь і гідність. Формування довіри до прокуратури»;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0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15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«Компетентність та професіоналізм»;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00"/>
              </w:tabs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16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«Доброчесність, зразковість поведінки та дисциплінованість»;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15"/>
              </w:tabs>
              <w:spacing w:after="24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19</w:t>
            </w:r>
          </w:p>
        </w:tc>
        <w:tc>
          <w:tcPr>
            <w:tcW w:w="7932" w:type="dxa"/>
          </w:tcPr>
          <w:p w:rsidR="002A26B8" w:rsidRPr="00CD07D7" w:rsidRDefault="002A26B8" w:rsidP="004E147A">
            <w:pPr>
              <w:spacing w:after="24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«Недопущення проявів корупції»;</w:t>
            </w:r>
          </w:p>
        </w:tc>
      </w:tr>
      <w:tr w:rsidR="00CD07D7" w:rsidRPr="00CD07D7" w:rsidTr="004E147A">
        <w:tc>
          <w:tcPr>
            <w:tcW w:w="1696" w:type="dxa"/>
          </w:tcPr>
          <w:p w:rsidR="002A26B8" w:rsidRPr="00CD07D7" w:rsidRDefault="002A26B8" w:rsidP="004E147A">
            <w:pPr>
              <w:tabs>
                <w:tab w:val="left" w:pos="315"/>
              </w:tabs>
              <w:spacing w:after="240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lastRenderedPageBreak/>
              <w:t>–</w:t>
            </w: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ab/>
              <w:t>статті 21</w:t>
            </w:r>
          </w:p>
        </w:tc>
        <w:tc>
          <w:tcPr>
            <w:tcW w:w="7932" w:type="dxa"/>
          </w:tcPr>
          <w:p w:rsidR="002A26B8" w:rsidRPr="00CD07D7" w:rsidRDefault="002A26B8" w:rsidP="002B670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</w:pPr>
            <w:r w:rsidRPr="00CD07D7">
              <w:rPr>
                <w:rFonts w:ascii="Times New Roman" w:hAnsi="Times New Roman" w:cs="Times New Roman"/>
                <w:b w:val="0"/>
                <w:color w:val="auto"/>
                <w:kern w:val="28"/>
                <w:szCs w:val="28"/>
                <w:lang w:val="uk-UA"/>
              </w:rPr>
              <w:t>«Недопущення поведінки, що може зашкодити репутації» та інші.</w:t>
            </w:r>
          </w:p>
        </w:tc>
      </w:tr>
    </w:tbl>
    <w:p w:rsidR="002A26B8" w:rsidRPr="00CD07D7" w:rsidRDefault="002A26B8" w:rsidP="00B0222B">
      <w:pPr>
        <w:spacing w:after="12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Як правило, в дисциплінарних скаргах вказу</w:t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ю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ться одразу декілька статей Кодексу, вимоги яких, на думку скаржника, порушено або не вказу</w:t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є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ться взагалі жодної статті, обмежуючись загальним формулюванням про порушення вимог Кодексу або етичних норм.  </w:t>
      </w:r>
    </w:p>
    <w:p w:rsidR="002A26B8" w:rsidRPr="00CD07D7" w:rsidRDefault="002A26B8" w:rsidP="00B0222B">
      <w:pPr>
        <w:spacing w:after="12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Із наведеним пов’язана друга тенденція, яка полягає в тому, що доводи скаржників про порушення прокурорами правил прокурорської етики майже в усіх випадках поєднано із твердженням про наявність ще й іншого дисциплінарного проступку. Як правило, порушення правил прокурорської етики скаржники поєднують з доводами про невиконання або неналежне виконання прокурорами службових обов’язків чи вчинення ними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(пункти 1, 5 частини першої статті 43 Закону). Твердження про порушення виключно правил прокурорської етики зустрічаються в дисциплінарних скаргах майже в поодиноких випадках.</w:t>
      </w:r>
    </w:p>
    <w:p w:rsidR="002A26B8" w:rsidRPr="00CD07D7" w:rsidRDefault="002B6700" w:rsidP="00B0222B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/>
        <w:jc w:val="both"/>
        <w:rPr>
          <w:rFonts w:eastAsiaTheme="minorEastAsia"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>Забезпечуючи дотримання прокурорами правил прокурорської етики, органи, на які в 2020 – 2021 роках та І півріччі 2022 року покладалося здійснення дисциплінарного провадження, застосовували заходи дисциплінарного впливу до порушників етичних норм. За результатами дисциплінарного провадження у вказаний період прийнято</w:t>
      </w:r>
      <w:r w:rsidR="002A26B8" w:rsidRPr="00CD07D7">
        <w:rPr>
          <w:rFonts w:eastAsiaTheme="minorEastAsia"/>
          <w:b/>
          <w:kern w:val="28"/>
          <w:sz w:val="28"/>
          <w:szCs w:val="28"/>
          <w:lang w:val="uk-UA"/>
        </w:rPr>
        <w:t xml:space="preserve"> 67 рішень 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>про притягнення</w:t>
      </w:r>
      <w:r w:rsidR="002A26B8" w:rsidRPr="00CD07D7">
        <w:rPr>
          <w:rFonts w:eastAsiaTheme="minorEastAsia"/>
          <w:b/>
          <w:kern w:val="28"/>
          <w:sz w:val="28"/>
          <w:szCs w:val="28"/>
          <w:lang w:val="uk-UA"/>
        </w:rPr>
        <w:t xml:space="preserve"> 73 прокурорів 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>до різних видів дисциплінарних стягнень у зв’язку з наявністю в їхніх діях складу дисциплінарного проступку, передбаченого пунктом 6 частини першої статті 43 Закону.</w:t>
      </w:r>
    </w:p>
    <w:p w:rsidR="002A26B8" w:rsidRPr="00CD07D7" w:rsidRDefault="002B6700" w:rsidP="00B0222B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/>
        <w:jc w:val="both"/>
        <w:rPr>
          <w:rFonts w:eastAsiaTheme="minorEastAsia"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  <w:t>У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дисциплінарній практиці щодо порушення прокурорами правил прокурорської етики переважає такий вид дисциплінарного стягнення як звільнення з посади в органах прокуратури (57 %). Зазначене цілком виправдано роллю і значенням професійної етики прокурора та наслідками її порушення, що не лише відображає професійну деформацію, веде до несумлінного виконання службових обов’язків і є несумісним із зайняттям посади, але й підриває авторитет як самого прокурора, так і органів прокуратури та держави в цілому.</w:t>
      </w:r>
    </w:p>
    <w:p w:rsidR="002A26B8" w:rsidRPr="00CD07D7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drawing>
          <wp:inline distT="0" distB="0" distL="0" distR="0" wp14:anchorId="4EF5241C" wp14:editId="2D77287B">
            <wp:extent cx="6048375" cy="2059388"/>
            <wp:effectExtent l="0" t="0" r="9525" b="1714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26B8" w:rsidRPr="00CD07D7" w:rsidRDefault="002A26B8" w:rsidP="002A26B8">
      <w:pPr>
        <w:shd w:val="clear" w:color="auto" w:fill="FFFFFF" w:themeFill="background1"/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lastRenderedPageBreak/>
        <w:drawing>
          <wp:inline distT="0" distB="0" distL="0" distR="0" wp14:anchorId="4F58B626" wp14:editId="1950A3E0">
            <wp:extent cx="6191250" cy="370522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26B8" w:rsidRPr="00CD07D7" w:rsidRDefault="002B6700" w:rsidP="002B6700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EastAsia"/>
          <w:kern w:val="28"/>
          <w:sz w:val="28"/>
          <w:szCs w:val="28"/>
          <w:lang w:val="uk-UA"/>
        </w:rPr>
      </w:pPr>
      <w:r>
        <w:rPr>
          <w:rFonts w:eastAsiaTheme="minorEastAsia"/>
          <w:kern w:val="28"/>
          <w:sz w:val="28"/>
          <w:szCs w:val="28"/>
          <w:lang w:val="uk-UA"/>
        </w:rPr>
        <w:tab/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До статей Кодексу, порушення яких </w:t>
      </w:r>
      <w:r w:rsidR="002A26B8" w:rsidRPr="00CD07D7">
        <w:rPr>
          <w:rFonts w:eastAsiaTheme="minorEastAsia"/>
          <w:b/>
          <w:kern w:val="28"/>
          <w:sz w:val="28"/>
          <w:szCs w:val="28"/>
          <w:lang w:val="uk-UA"/>
        </w:rPr>
        <w:t>найчастіше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встановл</w:t>
      </w:r>
      <w:r w:rsidR="00BD062E">
        <w:rPr>
          <w:rFonts w:eastAsiaTheme="minorEastAsia"/>
          <w:kern w:val="28"/>
          <w:sz w:val="28"/>
          <w:szCs w:val="28"/>
          <w:lang w:val="uk-UA"/>
        </w:rPr>
        <w:t>ено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в дисциплінарному провадженні</w:t>
      </w:r>
      <w:r w:rsidR="00BD062E">
        <w:rPr>
          <w:rFonts w:eastAsiaTheme="minorEastAsia"/>
          <w:kern w:val="28"/>
          <w:sz w:val="28"/>
          <w:szCs w:val="28"/>
          <w:lang w:val="uk-UA"/>
        </w:rPr>
        <w:t>,</w:t>
      </w:r>
      <w:r w:rsidR="002A26B8" w:rsidRPr="00CD07D7">
        <w:rPr>
          <w:rFonts w:eastAsiaTheme="minorEastAsia"/>
          <w:kern w:val="28"/>
          <w:sz w:val="28"/>
          <w:szCs w:val="28"/>
          <w:lang w:val="uk-UA"/>
        </w:rPr>
        <w:t xml:space="preserve"> належать: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6063"/>
        <w:gridCol w:w="1940"/>
      </w:tblGrid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21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«Недопущення поведінки, що може зашкодити репутації»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59</w:t>
            </w:r>
          </w:p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i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i/>
                <w:kern w:val="28"/>
                <w:sz w:val="28"/>
                <w:szCs w:val="28"/>
                <w:lang w:val="uk-UA"/>
              </w:rPr>
              <w:t>(випадків застосування)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19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«Недопущення проявів корупції»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25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11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«Професійна честь і гідність. Формування довіри до прокуратури»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11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4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«Основні принципи професійної етики та поведінки прокурорів»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 xml:space="preserve">8 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16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«Доброчесність, зразковість поведінки та дисциплінованість»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8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5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«Верховенство права та законність»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7</w:t>
            </w:r>
          </w:p>
        </w:tc>
      </w:tr>
      <w:tr w:rsidR="00CD07D7" w:rsidRPr="00CD07D7" w:rsidTr="004E147A">
        <w:tc>
          <w:tcPr>
            <w:tcW w:w="168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– стаття 10</w:t>
            </w:r>
          </w:p>
        </w:tc>
        <w:tc>
          <w:tcPr>
            <w:tcW w:w="6332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rPr>
                <w:rFonts w:eastAsiaTheme="minorEastAsia"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kern w:val="28"/>
                <w:sz w:val="28"/>
                <w:szCs w:val="28"/>
                <w:lang w:val="uk-UA"/>
              </w:rPr>
              <w:t>«Справедливість, неупередженість та об’єктивність»</w:t>
            </w:r>
          </w:p>
        </w:tc>
        <w:tc>
          <w:tcPr>
            <w:tcW w:w="1608" w:type="dxa"/>
            <w:vAlign w:val="center"/>
          </w:tcPr>
          <w:p w:rsidR="002A26B8" w:rsidRPr="00CD07D7" w:rsidRDefault="002A26B8" w:rsidP="002B6700">
            <w:pPr>
              <w:pStyle w:val="rvps2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center"/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</w:pPr>
            <w:r w:rsidRPr="00CD07D7">
              <w:rPr>
                <w:rFonts w:eastAsiaTheme="minorEastAsia"/>
                <w:b/>
                <w:kern w:val="28"/>
                <w:sz w:val="28"/>
                <w:szCs w:val="28"/>
                <w:lang w:val="uk-UA"/>
              </w:rPr>
              <w:t>6</w:t>
            </w:r>
          </w:p>
        </w:tc>
      </w:tr>
    </w:tbl>
    <w:p w:rsidR="002A26B8" w:rsidRPr="00CD07D7" w:rsidRDefault="002A26B8" w:rsidP="002A26B8">
      <w:pPr>
        <w:pStyle w:val="1"/>
        <w:spacing w:after="240" w:line="240" w:lineRule="auto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</w:pPr>
      <w:r w:rsidRPr="00CD07D7">
        <w:rPr>
          <w:rFonts w:ascii="Times New Roman" w:hAnsi="Times New Roman" w:cs="Times New Roman"/>
          <w:color w:val="auto"/>
          <w:sz w:val="28"/>
          <w:szCs w:val="28"/>
          <w:lang w:val="uk-UA" w:bidi="ru-RU"/>
        </w:rPr>
        <w:tab/>
      </w:r>
      <w:r w:rsidR="00314918"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>Ок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рім того, порушення статей 12 («Прозорість службової діяльності. Конфіденційність») та 14 («Недопущення конфлікту інтересів») – встановлено у </w:t>
      </w:r>
      <w:r w:rsidRPr="00CD07D7">
        <w:rPr>
          <w:rFonts w:ascii="Times New Roman" w:eastAsiaTheme="minorEastAsia" w:hAnsi="Times New Roman" w:cs="Times New Roman"/>
          <w:color w:val="auto"/>
          <w:sz w:val="28"/>
          <w:szCs w:val="28"/>
          <w:lang w:val="uk-UA"/>
        </w:rPr>
        <w:t>3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 випадках; статей 29 («Взаємовідносини в колективах прокуратур»), 30 («Взаємовідносини керівного складу органів прокуратури з підпорядкованими працівниками») – у </w:t>
      </w:r>
      <w:r w:rsidRPr="00CD07D7">
        <w:rPr>
          <w:rFonts w:ascii="Times New Roman" w:eastAsiaTheme="minorEastAsia" w:hAnsi="Times New Roman" w:cs="Times New Roman"/>
          <w:color w:val="auto"/>
          <w:sz w:val="28"/>
          <w:szCs w:val="28"/>
          <w:lang w:val="uk-UA"/>
        </w:rPr>
        <w:t>2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 випадках, статей 7 («Незалежність та самостійність») та 13 («Взаємовідносини з громадянами») – у </w:t>
      </w:r>
      <w:r w:rsidRPr="00CD07D7">
        <w:rPr>
          <w:rFonts w:ascii="Times New Roman" w:eastAsiaTheme="minorEastAsia" w:hAnsi="Times New Roman" w:cs="Times New Roman"/>
          <w:color w:val="auto"/>
          <w:sz w:val="28"/>
          <w:szCs w:val="28"/>
          <w:lang w:val="uk-UA"/>
        </w:rPr>
        <w:t>1</w:t>
      </w:r>
      <w:r w:rsidRPr="00CD07D7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lang w:val="uk-UA"/>
        </w:rPr>
        <w:t xml:space="preserve"> випадку.</w:t>
      </w:r>
    </w:p>
    <w:p w:rsidR="002A26B8" w:rsidRPr="00CD07D7" w:rsidRDefault="002A26B8" w:rsidP="002A26B8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</w:t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B6700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Згідно з частинами другою, третьою статті 46 Закону України «Про прокуратуру» член Комісії своїм вмотивованим рішенням відмовляє у відкритті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дисциплінарного провадження</w:t>
      </w:r>
      <w:bookmarkStart w:id="1" w:name="n2545"/>
      <w:bookmarkStart w:id="2" w:name="n445"/>
      <w:bookmarkEnd w:id="1"/>
      <w:bookmarkEnd w:id="2"/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за </w:t>
      </w:r>
      <w:r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відсутності підстав, передбачених частиною другою цієї статті.</w:t>
      </w:r>
    </w:p>
    <w:p w:rsidR="002A26B8" w:rsidRPr="00CD07D7" w:rsidRDefault="002A26B8" w:rsidP="002A26B8">
      <w:pPr>
        <w:tabs>
          <w:tab w:val="left" w:pos="426"/>
          <w:tab w:val="left" w:pos="5103"/>
        </w:tabs>
        <w:spacing w:after="240" w:line="240" w:lineRule="auto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drawing>
          <wp:inline distT="0" distB="0" distL="0" distR="0" wp14:anchorId="45AB9A92" wp14:editId="6355B6D7">
            <wp:extent cx="6029325" cy="16668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26B8" w:rsidRPr="00CD07D7" w:rsidRDefault="002A26B8" w:rsidP="002A26B8">
      <w:pPr>
        <w:tabs>
          <w:tab w:val="left" w:pos="426"/>
        </w:tabs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drawing>
          <wp:inline distT="0" distB="0" distL="0" distR="0" wp14:anchorId="6A545435" wp14:editId="402F69FE">
            <wp:extent cx="6096000" cy="36099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26B8" w:rsidRPr="00CD07D7" w:rsidRDefault="002B6700" w:rsidP="00A218BE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Як видно, упродовж 2020 – 2022 років в абсолютній більшості випадків 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br/>
        <w:t xml:space="preserve">(73 %) за скаргами на порушення правил прокурорської етики приймалися рішення про відмову у відкритті дисциплінарного провадження, що відповідає загальній тенденції вирішення питання про відкриття дисциплінарного провадження. Так, щодо 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усіх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категорій дисциплінарних скарг цей показник у 2020 році склав – 75 %, за січень – серпень 2021 (період роботи кадрової комісії) – </w:t>
      </w:r>
      <w:r w:rsidR="0031491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     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78 %, у І півріччі 2022 року – 65 %.</w:t>
      </w:r>
    </w:p>
    <w:p w:rsidR="002A26B8" w:rsidRPr="00A218BE" w:rsidRDefault="00A218BE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М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айже в усіх випадках (97%) підставою для відмови у відкритті дисциплінарного провадження стала відсутність в дисциплінарній скарзі конкретних відомостей про наявність ознак дисциплінарного проступку прокурора (пункт 1 частини другої статті 46 Закону), що також відповідає загальній тенденції розгляду скарг усіх категорій. Вивчення 2019, 2020 та 2021 років також показали, що зазначена підстава є найпоширенішою (понад 90 % випадків) для відмови у відкритті дисциплінарних проваджень. У інших випадках прийняття рішень про відмову у відкритті дисциплінарного 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lastRenderedPageBreak/>
        <w:t>провадження обумовлено пунктами 4, 5 частини другої статті 46 Закону (з прокурором, стосовно якого надійшла дисциплінарна скарга, припинено правовідносини у випадках, передбачених</w:t>
      </w:r>
      <w:hyperlink r:id="rId14" w:anchor="n505" w:history="1">
        <w:r w:rsidR="002A26B8" w:rsidRPr="00A218BE">
          <w:rPr>
            <w:rFonts w:ascii="Times New Roman" w:hAnsi="Times New Roman" w:cs="Times New Roman"/>
            <w:b w:val="0"/>
            <w:color w:val="auto"/>
            <w:kern w:val="28"/>
            <w:szCs w:val="28"/>
            <w:lang w:val="uk-UA"/>
          </w:rPr>
          <w:t> статтею 51</w:t>
        </w:r>
      </w:hyperlink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 Закону; дисциплінарний проступок, про який зазначено у дисциплінарній скарзі, вже був предметом перевірки і щодо нього Комісією прийнято рішення, яке не скасовано в установленому законом порядку).</w:t>
      </w:r>
    </w:p>
    <w:p w:rsidR="002A26B8" w:rsidRPr="00A218BE" w:rsidRDefault="00A218BE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Достатньо поширеним також є ненадання разом з дисциплінарною скаргою рішення, у якому встановлені факти порушення прокурором прав осіб або умисного порушення вимог законодавства чи неналежного виконання службових обов’язків. Натомість, викладені у дисциплінарній скарзі доводи можуть фактично зводитися до незгоди з процесуальним рішенням прокурора, мотивами та обґрунтуванням прийнятого ним рішення, правильність якого з точки зору застосування норм матеріального права чи дотримання норм процесуального права може бути перевірено лише слідчим суддею, судом або прокурором вищого рівня у порядку, передбаченому Кримінальним процесуальним кодексом України.</w:t>
      </w:r>
    </w:p>
    <w:p w:rsidR="002A26B8" w:rsidRPr="00A218BE" w:rsidRDefault="00CD07D7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Згідно з частиною п’ятою статті 48 Закону у разі відсутності підстав для накладення на прокурора дисциплінарного стягнення </w:t>
      </w:r>
      <w:r w:rsid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Комісія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своїм рішенням закриває дисциплінарне провадження.</w:t>
      </w:r>
    </w:p>
    <w:p w:rsidR="002A26B8" w:rsidRPr="00A218BE" w:rsidRDefault="00A218BE" w:rsidP="00A218B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  <w:t>У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продовж 2020</w:t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-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2021 років та І півріччя</w:t>
      </w: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2022 року прийнято </w:t>
      </w:r>
      <w:r w:rsidR="002A26B8" w:rsidRPr="00A218BE">
        <w:rPr>
          <w:rFonts w:ascii="Times New Roman" w:hAnsi="Times New Roman" w:cs="Times New Roman"/>
          <w:color w:val="auto"/>
          <w:kern w:val="28"/>
          <w:szCs w:val="28"/>
          <w:lang w:val="uk-UA"/>
        </w:rPr>
        <w:t>72 рішення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про закриття дисциплінарних проваджень стосовно </w:t>
      </w:r>
      <w:r w:rsidR="002A26B8" w:rsidRPr="00A218BE">
        <w:rPr>
          <w:rFonts w:ascii="Times New Roman" w:hAnsi="Times New Roman" w:cs="Times New Roman"/>
          <w:color w:val="auto"/>
          <w:kern w:val="28"/>
          <w:szCs w:val="28"/>
          <w:lang w:val="uk-UA"/>
        </w:rPr>
        <w:t>89 прокурорів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, що складає </w:t>
      </w:r>
      <w:r w:rsidR="002A26B8" w:rsidRPr="00A218BE">
        <w:rPr>
          <w:rFonts w:ascii="Times New Roman" w:hAnsi="Times New Roman" w:cs="Times New Roman"/>
          <w:color w:val="auto"/>
          <w:kern w:val="28"/>
          <w:szCs w:val="28"/>
          <w:lang w:val="uk-UA"/>
        </w:rPr>
        <w:t>52 %</w:t>
      </w:r>
      <w:r w:rsidR="002A26B8" w:rsidRPr="00A218BE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 xml:space="preserve"> від прийнятих рішень у дисциплінарних провадженнях за скаргами про можливі порушення прокурором правил прокурорської етики.</w:t>
      </w:r>
    </w:p>
    <w:p w:rsidR="002A26B8" w:rsidRPr="00CD07D7" w:rsidRDefault="002A26B8" w:rsidP="002A26B8">
      <w:pPr>
        <w:spacing w:after="240"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 w:rsidRPr="00CD07D7">
        <w:rPr>
          <w:rFonts w:ascii="Times New Roman" w:hAnsi="Times New Roman" w:cs="Times New Roman"/>
          <w:b w:val="0"/>
          <w:noProof/>
          <w:color w:val="auto"/>
          <w:kern w:val="28"/>
          <w:szCs w:val="28"/>
          <w:lang w:eastAsia="ru-RU"/>
        </w:rPr>
        <w:drawing>
          <wp:inline distT="0" distB="0" distL="0" distR="0" wp14:anchorId="76020EF6" wp14:editId="4804DD77">
            <wp:extent cx="6048375" cy="265747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26B8" w:rsidRPr="00CD07D7" w:rsidRDefault="00A218BE" w:rsidP="00A218B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ab/>
      </w:r>
      <w:r w:rsidR="00CD07D7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О</w:t>
      </w:r>
      <w:r w:rsidR="002A26B8" w:rsidRPr="00CD07D7">
        <w:rPr>
          <w:rFonts w:ascii="Times New Roman" w:hAnsi="Times New Roman" w:cs="Times New Roman"/>
          <w:b w:val="0"/>
          <w:color w:val="auto"/>
          <w:kern w:val="28"/>
          <w:szCs w:val="28"/>
          <w:lang w:val="uk-UA"/>
        </w:rPr>
        <w:t>сновною причиною закриття дисциплінарного провадження є те, що зазначені в дисциплінарній скарзі обставини у ході перевірки не знаходять свого об’єктивного підтвердження. Нерідко, цьому сприяє ненадання достатніх доказів самим скаржником або неправильна кваліфікація дій прокурора як порушення правил прокурорської етики.</w:t>
      </w:r>
    </w:p>
    <w:p w:rsidR="00C1170B" w:rsidRPr="00CD07D7" w:rsidRDefault="00C1170B">
      <w:pPr>
        <w:rPr>
          <w:rFonts w:ascii="Times New Roman" w:hAnsi="Times New Roman" w:cs="Times New Roman"/>
          <w:color w:val="auto"/>
          <w:szCs w:val="28"/>
        </w:rPr>
      </w:pPr>
    </w:p>
    <w:sectPr w:rsidR="00C1170B" w:rsidRPr="00CD07D7" w:rsidSect="00E26D9E">
      <w:pgSz w:w="11906" w:h="16838" w:code="9"/>
      <w:pgMar w:top="1134" w:right="567" w:bottom="1134" w:left="1701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EA" w:rsidRDefault="008D71EA" w:rsidP="002A26B8">
      <w:pPr>
        <w:spacing w:line="240" w:lineRule="auto"/>
      </w:pPr>
      <w:r>
        <w:separator/>
      </w:r>
    </w:p>
  </w:endnote>
  <w:endnote w:type="continuationSeparator" w:id="0">
    <w:p w:rsidR="008D71EA" w:rsidRDefault="008D71EA" w:rsidP="002A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EA" w:rsidRDefault="008D71EA" w:rsidP="002A26B8">
      <w:pPr>
        <w:spacing w:line="240" w:lineRule="auto"/>
      </w:pPr>
      <w:r>
        <w:separator/>
      </w:r>
    </w:p>
  </w:footnote>
  <w:footnote w:type="continuationSeparator" w:id="0">
    <w:p w:rsidR="008D71EA" w:rsidRDefault="008D71EA" w:rsidP="002A2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A"/>
    <w:multiLevelType w:val="hybridMultilevel"/>
    <w:tmpl w:val="C5C0CF82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1AE"/>
    <w:multiLevelType w:val="hybridMultilevel"/>
    <w:tmpl w:val="36BA0A10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74DE"/>
    <w:multiLevelType w:val="hybridMultilevel"/>
    <w:tmpl w:val="921A7048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C3B85"/>
    <w:multiLevelType w:val="multilevel"/>
    <w:tmpl w:val="EE62DB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1C43726A"/>
    <w:multiLevelType w:val="hybridMultilevel"/>
    <w:tmpl w:val="169A69D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330B"/>
    <w:multiLevelType w:val="hybridMultilevel"/>
    <w:tmpl w:val="B742CF2A"/>
    <w:lvl w:ilvl="0" w:tplc="D9EA7E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EF7D08"/>
    <w:multiLevelType w:val="hybridMultilevel"/>
    <w:tmpl w:val="BBFA16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F60D70"/>
    <w:multiLevelType w:val="hybridMultilevel"/>
    <w:tmpl w:val="68CE35C4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201061"/>
    <w:multiLevelType w:val="hybridMultilevel"/>
    <w:tmpl w:val="04769AFC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23D"/>
    <w:multiLevelType w:val="hybridMultilevel"/>
    <w:tmpl w:val="61A43B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65672"/>
    <w:multiLevelType w:val="hybridMultilevel"/>
    <w:tmpl w:val="44665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EAE"/>
    <w:multiLevelType w:val="hybridMultilevel"/>
    <w:tmpl w:val="530EA3F4"/>
    <w:lvl w:ilvl="0" w:tplc="D9EA7E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077ECF"/>
    <w:multiLevelType w:val="hybridMultilevel"/>
    <w:tmpl w:val="5F8E36EC"/>
    <w:lvl w:ilvl="0" w:tplc="D9EA7E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02B6C"/>
    <w:multiLevelType w:val="hybridMultilevel"/>
    <w:tmpl w:val="1B1C467C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32F88"/>
    <w:multiLevelType w:val="hybridMultilevel"/>
    <w:tmpl w:val="51CE9B54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4C48"/>
    <w:multiLevelType w:val="hybridMultilevel"/>
    <w:tmpl w:val="76E2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4FA2"/>
    <w:multiLevelType w:val="hybridMultilevel"/>
    <w:tmpl w:val="7C3224A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E61C5"/>
    <w:multiLevelType w:val="hybridMultilevel"/>
    <w:tmpl w:val="160E9B18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F5E43"/>
    <w:multiLevelType w:val="hybridMultilevel"/>
    <w:tmpl w:val="A5A4F1E2"/>
    <w:lvl w:ilvl="0" w:tplc="3ECCA2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E6A5730"/>
    <w:multiLevelType w:val="hybridMultilevel"/>
    <w:tmpl w:val="1BFA911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6FFE"/>
    <w:multiLevelType w:val="hybridMultilevel"/>
    <w:tmpl w:val="D4BCBB26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F7427"/>
    <w:multiLevelType w:val="hybridMultilevel"/>
    <w:tmpl w:val="C09A5852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8369D"/>
    <w:multiLevelType w:val="hybridMultilevel"/>
    <w:tmpl w:val="8EB2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06E7D"/>
    <w:multiLevelType w:val="hybridMultilevel"/>
    <w:tmpl w:val="337EF024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4EDD"/>
    <w:multiLevelType w:val="hybridMultilevel"/>
    <w:tmpl w:val="55FE63E8"/>
    <w:lvl w:ilvl="0" w:tplc="D9EA7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56867"/>
    <w:multiLevelType w:val="hybridMultilevel"/>
    <w:tmpl w:val="F586B39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7"/>
  </w:num>
  <w:num w:numId="5">
    <w:abstractNumId w:val="21"/>
  </w:num>
  <w:num w:numId="6">
    <w:abstractNumId w:val="10"/>
  </w:num>
  <w:num w:numId="7">
    <w:abstractNumId w:val="18"/>
  </w:num>
  <w:num w:numId="8">
    <w:abstractNumId w:val="14"/>
  </w:num>
  <w:num w:numId="9">
    <w:abstractNumId w:val="24"/>
  </w:num>
  <w:num w:numId="10">
    <w:abstractNumId w:val="3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0"/>
  </w:num>
  <w:num w:numId="16">
    <w:abstractNumId w:val="1"/>
  </w:num>
  <w:num w:numId="17">
    <w:abstractNumId w:val="11"/>
  </w:num>
  <w:num w:numId="18">
    <w:abstractNumId w:val="20"/>
  </w:num>
  <w:num w:numId="19">
    <w:abstractNumId w:val="5"/>
  </w:num>
  <w:num w:numId="20">
    <w:abstractNumId w:val="17"/>
  </w:num>
  <w:num w:numId="21">
    <w:abstractNumId w:val="8"/>
  </w:num>
  <w:num w:numId="22">
    <w:abstractNumId w:val="15"/>
  </w:num>
  <w:num w:numId="23">
    <w:abstractNumId w:val="25"/>
  </w:num>
  <w:num w:numId="24">
    <w:abstractNumId w:val="4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22"/>
    <w:rsid w:val="002A26B8"/>
    <w:rsid w:val="002B6700"/>
    <w:rsid w:val="00314918"/>
    <w:rsid w:val="003A6E22"/>
    <w:rsid w:val="006235A3"/>
    <w:rsid w:val="007E74BD"/>
    <w:rsid w:val="008D71EA"/>
    <w:rsid w:val="009364D1"/>
    <w:rsid w:val="00A218BE"/>
    <w:rsid w:val="00B0222B"/>
    <w:rsid w:val="00BD062E"/>
    <w:rsid w:val="00C1170B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3E35"/>
  <w15:chartTrackingRefBased/>
  <w15:docId w15:val="{B3E757A8-4201-4094-B5ED-88462AD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B8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1">
    <w:name w:val="heading 1"/>
    <w:basedOn w:val="a"/>
    <w:link w:val="10"/>
    <w:uiPriority w:val="4"/>
    <w:qFormat/>
    <w:rsid w:val="002A26B8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23E4F" w:themeColor="text2" w:themeShade="BF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4"/>
    <w:qFormat/>
    <w:rsid w:val="002A26B8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4"/>
    <w:rsid w:val="002A26B8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</w:rPr>
  </w:style>
  <w:style w:type="character" w:customStyle="1" w:styleId="20">
    <w:name w:val="Заголовок 2 Знак"/>
    <w:basedOn w:val="a0"/>
    <w:link w:val="2"/>
    <w:uiPriority w:val="4"/>
    <w:rsid w:val="002A26B8"/>
    <w:rPr>
      <w:rFonts w:eastAsiaTheme="majorEastAsia" w:cstheme="majorBidi"/>
      <w:color w:val="44546A" w:themeColor="text2"/>
      <w:sz w:val="3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A26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B8"/>
    <w:rPr>
      <w:rFonts w:ascii="Tahoma" w:eastAsiaTheme="minorEastAsia" w:hAnsi="Tahoma" w:cs="Tahoma"/>
      <w:b/>
      <w:color w:val="44546A" w:themeColor="text2"/>
      <w:sz w:val="16"/>
      <w:szCs w:val="16"/>
    </w:rPr>
  </w:style>
  <w:style w:type="paragraph" w:styleId="a5">
    <w:name w:val="Title"/>
    <w:basedOn w:val="a"/>
    <w:link w:val="a6"/>
    <w:uiPriority w:val="1"/>
    <w:qFormat/>
    <w:rsid w:val="002A26B8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a6">
    <w:name w:val="Заголовок Знак"/>
    <w:basedOn w:val="a0"/>
    <w:link w:val="a5"/>
    <w:uiPriority w:val="1"/>
    <w:rsid w:val="002A26B8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a7">
    <w:name w:val="Subtitle"/>
    <w:basedOn w:val="a"/>
    <w:link w:val="a8"/>
    <w:uiPriority w:val="2"/>
    <w:qFormat/>
    <w:rsid w:val="002A26B8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2"/>
    <w:rsid w:val="002A26B8"/>
    <w:rPr>
      <w:rFonts w:eastAsiaTheme="minorEastAsia"/>
      <w:caps/>
      <w:color w:val="44546A" w:themeColor="text2"/>
      <w:spacing w:val="20"/>
      <w:sz w:val="32"/>
    </w:rPr>
  </w:style>
  <w:style w:type="paragraph" w:styleId="a9">
    <w:name w:val="header"/>
    <w:basedOn w:val="a"/>
    <w:link w:val="aa"/>
    <w:uiPriority w:val="8"/>
    <w:unhideWhenUsed/>
    <w:rsid w:val="002A26B8"/>
  </w:style>
  <w:style w:type="character" w:customStyle="1" w:styleId="aa">
    <w:name w:val="Верхний колонтитул Знак"/>
    <w:basedOn w:val="a0"/>
    <w:link w:val="a9"/>
    <w:uiPriority w:val="8"/>
    <w:rsid w:val="002A26B8"/>
    <w:rPr>
      <w:rFonts w:eastAsiaTheme="minorEastAsia"/>
      <w:b/>
      <w:color w:val="44546A" w:themeColor="text2"/>
      <w:sz w:val="28"/>
    </w:rPr>
  </w:style>
  <w:style w:type="paragraph" w:styleId="ab">
    <w:name w:val="footer"/>
    <w:basedOn w:val="a"/>
    <w:link w:val="ac"/>
    <w:uiPriority w:val="99"/>
    <w:unhideWhenUsed/>
    <w:rsid w:val="002A26B8"/>
  </w:style>
  <w:style w:type="character" w:customStyle="1" w:styleId="ac">
    <w:name w:val="Нижний колонтитул Знак"/>
    <w:basedOn w:val="a0"/>
    <w:link w:val="ab"/>
    <w:uiPriority w:val="99"/>
    <w:rsid w:val="002A26B8"/>
    <w:rPr>
      <w:rFonts w:eastAsiaTheme="minorEastAsia"/>
      <w:b/>
      <w:color w:val="44546A" w:themeColor="text2"/>
      <w:sz w:val="28"/>
    </w:rPr>
  </w:style>
  <w:style w:type="paragraph" w:customStyle="1" w:styleId="ad">
    <w:name w:val="Имя"/>
    <w:basedOn w:val="a"/>
    <w:uiPriority w:val="3"/>
    <w:qFormat/>
    <w:rsid w:val="002A26B8"/>
    <w:pPr>
      <w:spacing w:line="240" w:lineRule="auto"/>
      <w:jc w:val="right"/>
    </w:pPr>
  </w:style>
  <w:style w:type="table" w:styleId="ae">
    <w:name w:val="Table Grid"/>
    <w:basedOn w:val="a1"/>
    <w:uiPriority w:val="1"/>
    <w:rsid w:val="002A26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unhideWhenUsed/>
    <w:rsid w:val="002A26B8"/>
    <w:rPr>
      <w:color w:val="808080"/>
    </w:rPr>
  </w:style>
  <w:style w:type="paragraph" w:customStyle="1" w:styleId="af0">
    <w:name w:val="Содержимое"/>
    <w:basedOn w:val="a"/>
    <w:link w:val="af1"/>
    <w:qFormat/>
    <w:rsid w:val="002A26B8"/>
    <w:rPr>
      <w:b w:val="0"/>
    </w:rPr>
  </w:style>
  <w:style w:type="paragraph" w:customStyle="1" w:styleId="af2">
    <w:name w:val="Выделенный текст"/>
    <w:basedOn w:val="a"/>
    <w:link w:val="af3"/>
    <w:qFormat/>
    <w:rsid w:val="002A26B8"/>
  </w:style>
  <w:style w:type="character" w:customStyle="1" w:styleId="af1">
    <w:name w:val="Содержимое (знак)"/>
    <w:basedOn w:val="a0"/>
    <w:link w:val="af0"/>
    <w:rsid w:val="002A26B8"/>
    <w:rPr>
      <w:rFonts w:eastAsiaTheme="minorEastAsia"/>
      <w:color w:val="44546A" w:themeColor="text2"/>
      <w:sz w:val="28"/>
    </w:rPr>
  </w:style>
  <w:style w:type="character" w:customStyle="1" w:styleId="af3">
    <w:name w:val="Выделенный текст (знак)"/>
    <w:basedOn w:val="a0"/>
    <w:link w:val="af2"/>
    <w:rsid w:val="002A26B8"/>
    <w:rPr>
      <w:rFonts w:eastAsiaTheme="minorEastAsia"/>
      <w:b/>
      <w:color w:val="44546A" w:themeColor="text2"/>
      <w:sz w:val="28"/>
    </w:rPr>
  </w:style>
  <w:style w:type="paragraph" w:styleId="af4">
    <w:name w:val="List Paragraph"/>
    <w:basedOn w:val="a"/>
    <w:uiPriority w:val="34"/>
    <w:qFormat/>
    <w:rsid w:val="002A26B8"/>
    <w:pPr>
      <w:spacing w:after="160" w:line="259" w:lineRule="auto"/>
      <w:ind w:left="720"/>
      <w:contextualSpacing/>
    </w:pPr>
    <w:rPr>
      <w:rFonts w:ascii="Times New Roman" w:eastAsiaTheme="minorHAnsi" w:hAnsi="Times New Roman"/>
      <w:b w:val="0"/>
      <w:color w:val="auto"/>
      <w:kern w:val="28"/>
      <w:lang w:val="uk-UA"/>
    </w:rPr>
  </w:style>
  <w:style w:type="character" w:styleId="af5">
    <w:name w:val="Emphasis"/>
    <w:basedOn w:val="a0"/>
    <w:uiPriority w:val="20"/>
    <w:qFormat/>
    <w:rsid w:val="002A26B8"/>
    <w:rPr>
      <w:i/>
      <w:iCs/>
    </w:rPr>
  </w:style>
  <w:style w:type="paragraph" w:customStyle="1" w:styleId="rvps2">
    <w:name w:val="rvps2"/>
    <w:basedOn w:val="a"/>
    <w:rsid w:val="002A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2A26B8"/>
    <w:pPr>
      <w:spacing w:line="240" w:lineRule="auto"/>
      <w:jc w:val="both"/>
    </w:pPr>
    <w:rPr>
      <w:rFonts w:ascii="Times New Roman" w:eastAsiaTheme="minorHAnsi" w:hAnsi="Times New Roman"/>
      <w:b w:val="0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A26B8"/>
    <w:rPr>
      <w:rFonts w:ascii="Times New Roman" w:hAnsi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2A26B8"/>
    <w:rPr>
      <w:vertAlign w:val="superscript"/>
    </w:rPr>
  </w:style>
  <w:style w:type="character" w:customStyle="1" w:styleId="rvts46">
    <w:name w:val="rvts46"/>
    <w:basedOn w:val="a0"/>
    <w:rsid w:val="002A26B8"/>
  </w:style>
  <w:style w:type="character" w:styleId="af9">
    <w:name w:val="Hyperlink"/>
    <w:basedOn w:val="a0"/>
    <w:uiPriority w:val="99"/>
    <w:semiHidden/>
    <w:unhideWhenUsed/>
    <w:rsid w:val="002A26B8"/>
    <w:rPr>
      <w:color w:val="0000FF"/>
      <w:u w:val="single"/>
    </w:rPr>
  </w:style>
  <w:style w:type="paragraph" w:styleId="afa">
    <w:name w:val="No Spacing"/>
    <w:uiPriority w:val="1"/>
    <w:qFormat/>
    <w:rsid w:val="002A26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1">
    <w:name w:val="Без интервала1"/>
    <w:uiPriority w:val="99"/>
    <w:rsid w:val="002A26B8"/>
    <w:pPr>
      <w:spacing w:after="0" w:line="240" w:lineRule="auto"/>
    </w:pPr>
    <w:rPr>
      <w:rFonts w:ascii="Cambria" w:eastAsia="Times New Roman" w:hAnsi="Cambria" w:cs="Cambria"/>
      <w:sz w:val="28"/>
      <w:szCs w:val="28"/>
    </w:rPr>
  </w:style>
  <w:style w:type="character" w:customStyle="1" w:styleId="rvts0">
    <w:name w:val="rvts0"/>
    <w:basedOn w:val="a0"/>
    <w:qFormat/>
    <w:rsid w:val="002A26B8"/>
  </w:style>
  <w:style w:type="paragraph" w:styleId="afb">
    <w:name w:val="Normal (Web)"/>
    <w:basedOn w:val="a"/>
    <w:uiPriority w:val="99"/>
    <w:unhideWhenUsed/>
    <w:rsid w:val="002A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customStyle="1" w:styleId="rvts11">
    <w:name w:val="rvts11"/>
    <w:basedOn w:val="a0"/>
    <w:rsid w:val="002A26B8"/>
  </w:style>
  <w:style w:type="paragraph" w:styleId="afc">
    <w:name w:val="caption"/>
    <w:basedOn w:val="a"/>
    <w:next w:val="a"/>
    <w:uiPriority w:val="99"/>
    <w:unhideWhenUsed/>
    <w:rsid w:val="002A26B8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zakon.rada.gov.ua/laws/show/1697-18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i="1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Відомості про надходження дисциплінарних скарг </a:t>
            </a:r>
            <a:r>
              <a:rPr lang="ru-RU" sz="1100" i="1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(загалом за 2020 - 2021 роки, І півріччя 2022 року)</a:t>
            </a:r>
          </a:p>
        </c:rich>
      </c:tx>
      <c:layout>
        <c:manualLayout>
          <c:xMode val="edge"/>
          <c:yMode val="edge"/>
          <c:x val="0.13068717948717948"/>
          <c:y val="1.257770410277662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98719160104987"/>
          <c:y val="0.29423884514435694"/>
          <c:w val="0.49114330708661408"/>
          <c:h val="0.613745683105401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4"/>
          <c:dPt>
            <c:idx val="0"/>
            <c:bubble3D val="0"/>
            <c:explosion val="21"/>
            <c:spPr>
              <a:gradFill rotWithShape="1">
                <a:gsLst>
                  <a:gs pos="0">
                    <a:schemeClr val="accent1">
                      <a:shade val="76000"/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1">
                      <a:shade val="76000"/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1">
                      <a:shade val="76000"/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5F5-4F9D-A5FD-4A99F360D50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tint val="77000"/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1">
                      <a:tint val="77000"/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1">
                      <a:tint val="77000"/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5F5-4F9D-A5FD-4A99F360D50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5F5-4F9D-A5FD-4A99F360D505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C35C2DD8-F41E-42C0-BC22-F48784727521}" type="VALUE">
                      <a:rPr lang="en-US" sz="1100">
                        <a:latin typeface="+mj-lt"/>
                      </a:rPr>
                      <a:pPr>
                        <a:defRPr sz="1100" b="1">
                          <a:solidFill>
                            <a:schemeClr val="bg1"/>
                          </a:solidFill>
                          <a:latin typeface="+mj-lt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5F5-4F9D-A5FD-4A99F360D5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Скарги за п. 6 ч. 1 ст. 43 
ЗУ "Про прокуратуру"</c:v>
                </c:pt>
                <c:pt idx="1">
                  <c:v>Інші скарги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0.21</c:v>
                </c:pt>
                <c:pt idx="1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F5-4F9D-A5FD-4A99F360D5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1.9696668685645062E-2"/>
          <c:y val="0.31688492885757708"/>
          <c:w val="0.35732105794468"/>
          <c:h val="0.285642353916286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ru-RU" sz="1300" b="1" i="1">
                <a:solidFill>
                  <a:sysClr val="windowText" lastClr="000000"/>
                </a:solidFill>
                <a:latin typeface="+mj-lt"/>
              </a:rPr>
              <a:t>Частка</a:t>
            </a:r>
            <a:r>
              <a:rPr lang="ru-RU" sz="1300" b="1" i="1" baseline="0">
                <a:solidFill>
                  <a:sysClr val="windowText" lastClr="000000"/>
                </a:solidFill>
                <a:latin typeface="+mj-lt"/>
              </a:rPr>
              <a:t> </a:t>
            </a:r>
            <a:r>
              <a:rPr lang="ru-RU" sz="1300" b="1" i="1">
                <a:solidFill>
                  <a:sysClr val="windowText" lastClr="000000"/>
                </a:solidFill>
                <a:latin typeface="+mj-lt"/>
              </a:rPr>
              <a:t>дисциплінарних скарг про</a:t>
            </a:r>
            <a:r>
              <a:rPr lang="ru-RU" sz="1300" b="1" i="1" baseline="0">
                <a:solidFill>
                  <a:sysClr val="windowText" lastClr="000000"/>
                </a:solidFill>
                <a:latin typeface="+mj-lt"/>
              </a:rPr>
              <a:t> порушення </a:t>
            </a:r>
            <a:br>
              <a:rPr lang="ru-RU" sz="1300" b="1" i="1" baseline="0">
                <a:solidFill>
                  <a:sysClr val="windowText" lastClr="000000"/>
                </a:solidFill>
                <a:latin typeface="+mj-lt"/>
              </a:rPr>
            </a:br>
            <a:r>
              <a:rPr lang="ru-RU" sz="1300" b="1" i="1" baseline="0">
                <a:solidFill>
                  <a:sysClr val="windowText" lastClr="000000"/>
                </a:solidFill>
                <a:latin typeface="+mj-lt"/>
              </a:rPr>
              <a:t>правил прокурорської етики </a:t>
            </a:r>
            <a:endParaRPr lang="ru-RU" sz="1300" b="1" i="1">
              <a:solidFill>
                <a:sysClr val="windowText" lastClr="000000"/>
              </a:solidFill>
              <a:latin typeface="+mj-lt"/>
            </a:endParaRPr>
          </a:p>
          <a:p>
            <a:pPr>
              <a:defRPr sz="1300">
                <a:solidFill>
                  <a:sysClr val="windowText" lastClr="000000"/>
                </a:solidFill>
                <a:latin typeface="+mj-lt"/>
              </a:defRPr>
            </a:pPr>
            <a:r>
              <a:rPr lang="ru-RU" sz="1100" b="1" i="1">
                <a:solidFill>
                  <a:sysClr val="windowText" lastClr="000000"/>
                </a:solidFill>
                <a:latin typeface="+mj-lt"/>
              </a:rPr>
              <a:t>(окремо</a:t>
            </a:r>
            <a:r>
              <a:rPr lang="ru-RU" sz="1100" b="1" i="1" baseline="0">
                <a:solidFill>
                  <a:sysClr val="windowText" lastClr="000000"/>
                </a:solidFill>
                <a:latin typeface="+mj-lt"/>
              </a:rPr>
              <a:t> за кожен рік</a:t>
            </a:r>
            <a:r>
              <a:rPr lang="ru-RU" sz="1100" b="1" i="1">
                <a:solidFill>
                  <a:sysClr val="windowText" lastClr="000000"/>
                </a:solidFill>
                <a:latin typeface="+mj-lt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39022878045756"/>
          <c:y val="0.26263060867391574"/>
          <c:w val="0.77711633289933246"/>
          <c:h val="0.70233275718583954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22EE09CE-6DB9-4C36-9C4B-6421DD5246C3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654-44AC-8095-D50E9BF488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січень-травень 
2022 року</c:v>
                </c:pt>
                <c:pt idx="1">
                  <c:v>2021 рік</c:v>
                </c:pt>
                <c:pt idx="2">
                  <c:v>2020 рік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0.23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54-44AC-8095-D50E9BF48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shape val="box"/>
        <c:axId val="495038936"/>
        <c:axId val="495039592"/>
        <c:axId val="0"/>
      </c:bar3DChart>
      <c:catAx>
        <c:axId val="495038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495039592"/>
        <c:crosses val="autoZero"/>
        <c:auto val="1"/>
        <c:lblAlgn val="ctr"/>
        <c:lblOffset val="100"/>
        <c:noMultiLvlLbl val="0"/>
      </c:catAx>
      <c:valAx>
        <c:axId val="49503959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49503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300" i="1">
                <a:solidFill>
                  <a:schemeClr val="tx2"/>
                </a:solidFill>
                <a:latin typeface="+mj-lt"/>
              </a:rPr>
              <a:t>Відомості про прокурорів, стосовно яких </a:t>
            </a:r>
            <a:br>
              <a:rPr lang="uk-UA" sz="1300" i="1">
                <a:solidFill>
                  <a:schemeClr val="tx2"/>
                </a:solidFill>
                <a:latin typeface="+mj-lt"/>
              </a:rPr>
            </a:br>
            <a:r>
              <a:rPr lang="uk-UA" sz="1300" i="1">
                <a:solidFill>
                  <a:schemeClr val="tx2"/>
                </a:solidFill>
                <a:latin typeface="+mj-lt"/>
              </a:rPr>
              <a:t>подано дисциплінарні скарги </a:t>
            </a:r>
          </a:p>
          <a:p>
            <a:pPr>
              <a:defRPr/>
            </a:pPr>
            <a:r>
              <a:rPr lang="uk-UA" sz="1100" i="1">
                <a:solidFill>
                  <a:schemeClr val="tx2"/>
                </a:solidFill>
                <a:latin typeface="+mj-lt"/>
              </a:rPr>
              <a:t>(за 2020 - 2021 роки, І півріччя 2022 року)</a:t>
            </a:r>
          </a:p>
        </c:rich>
      </c:tx>
      <c:layout>
        <c:manualLayout>
          <c:xMode val="edge"/>
          <c:yMode val="edge"/>
          <c:x val="0.16972391732283465"/>
          <c:y val="4.90797546012269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166666666666663E-2"/>
          <c:y val="0.54186142376374735"/>
          <c:w val="0.80625000000000002"/>
          <c:h val="0.4327649227895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45"/>
            <c:spPr>
              <a:gradFill rotWithShape="1">
                <a:gsLst>
                  <a:gs pos="0">
                    <a:schemeClr val="accent1"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1"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1"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A27-4BBF-8F41-820ECC3D5E1D}"/>
              </c:ext>
            </c:extLst>
          </c:dPt>
          <c:dPt>
            <c:idx val="1"/>
            <c:bubble3D val="0"/>
            <c:explosion val="34"/>
            <c:spPr>
              <a:gradFill rotWithShape="1">
                <a:gsLst>
                  <a:gs pos="0">
                    <a:schemeClr val="accent2"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2"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2"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A27-4BBF-8F41-820ECC3D5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100000"/>
                      <a:shade val="75000"/>
                      <a:satMod val="160000"/>
                    </a:schemeClr>
                  </a:gs>
                  <a:gs pos="62000">
                    <a:schemeClr val="accent3">
                      <a:tint val="100000"/>
                      <a:shade val="100000"/>
                      <a:satMod val="125000"/>
                    </a:schemeClr>
                  </a:gs>
                  <a:gs pos="100000">
                    <a:schemeClr val="accent3">
                      <a:tint val="80000"/>
                      <a:shade val="100000"/>
                      <a:satMod val="140000"/>
                    </a:schemeClr>
                  </a:gs>
                </a:gsLst>
                <a:lin ang="16200000" scaled="1"/>
              </a:gradFill>
              <a:ln>
                <a:noFill/>
              </a:ln>
              <a:effectLst/>
              <a:scene3d>
                <a:camera prst="orthographicFront" fov="0">
                  <a:rot lat="0" lon="0" rev="0"/>
                </a:camera>
                <a:lightRig rig="threePt" dir="t">
                  <a:rot lat="0" lon="0" rev="0"/>
                </a:lightRig>
              </a:scene3d>
              <a:sp3d>
                <a:bevelT w="139700" h="38100"/>
                <a:contourClr>
                  <a:scrgbClr r="0" g="0" b="0">
                    <a:tint val="100000"/>
                    <a:shade val="100000"/>
                    <a:satMod val="10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A27-4BBF-8F41-820ECC3D5E1D}"/>
              </c:ext>
            </c:extLst>
          </c:dPt>
          <c:dLbls>
            <c:dLbl>
              <c:idx val="0"/>
              <c:layout>
                <c:manualLayout>
                  <c:x val="-0.13651082677165363"/>
                  <c:y val="-3.617184355023107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2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FBB9ACA2-9C39-48B9-A7AD-4C5E5FB80ECE}" type="CATEGORYNAME">
                      <a:rPr lang="ru-RU"/>
                      <a:pPr>
                        <a:defRPr sz="1000">
                          <a:solidFill>
                            <a:schemeClr val="tx2"/>
                          </a:solidFill>
                          <a:latin typeface="+mj-lt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C13C6C65-A74B-4E3D-9662-93A55627A4B4}" type="PERCENTAGE">
                      <a:rPr lang="ru-RU" b="1" baseline="0"/>
                      <a:pPr>
                        <a:defRPr sz="1000">
                          <a:solidFill>
                            <a:schemeClr val="tx2"/>
                          </a:solidFill>
                          <a:latin typeface="+mj-lt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FFFFFF"/>
                </a:solidFill>
                <a:ln>
                  <a:solidFill>
                    <a:srgbClr val="082A7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2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4028100393700789"/>
                      <c:h val="0.1787449881648229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7-4BBF-8F41-820ECC3D5E1D}"/>
                </c:ext>
              </c:extLst>
            </c:dLbl>
            <c:dLbl>
              <c:idx val="1"/>
              <c:layout>
                <c:manualLayout>
                  <c:x val="4.1666666666666664E-2"/>
                  <c:y val="-8.1759818366262504E-2"/>
                </c:manualLayout>
              </c:layout>
              <c:tx>
                <c:rich>
                  <a:bodyPr/>
                  <a:lstStyle/>
                  <a:p>
                    <a:fld id="{15007A9B-0A30-4073-96BF-CFC9052BD19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F229A610-5570-4CBC-A886-0877EAF0920E}" type="PERCENTAGE">
                      <a:rPr lang="ru-RU" b="1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27591863517059"/>
                      <c:h val="0.2973543951177881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A27-4BBF-8F41-820ECC3D5E1D}"/>
                </c:ext>
              </c:extLst>
            </c:dLbl>
            <c:dLbl>
              <c:idx val="2"/>
              <c:layout>
                <c:manualLayout>
                  <c:x val="-1.2500000000000004E-2"/>
                  <c:y val="9.3159750736678641E-3"/>
                </c:manualLayout>
              </c:layout>
              <c:tx>
                <c:rich>
                  <a:bodyPr/>
                  <a:lstStyle/>
                  <a:p>
                    <a:fld id="{599FF46E-6261-4BAF-8916-C18431A5143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43F9B35D-649B-4E10-96D6-A04D6CE63E13}" type="PERCENTAGE">
                      <a:rPr lang="ru-RU" b="1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6961942257219"/>
                      <c:h val="0.2973543951177881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A27-4BBF-8F41-820ECC3D5E1D}"/>
                </c:ext>
              </c:extLst>
            </c:dLbl>
            <c:spPr>
              <a:solidFill>
                <a:srgbClr val="FFFFFF"/>
              </a:solidFill>
              <a:ln>
                <a:solidFill>
                  <a:srgbClr val="082A7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Офіс Генпрокурора (Генеральна прокуратура України)</c:v>
                </c:pt>
                <c:pt idx="1">
                  <c:v>обласні прокуратури (регіональні, спеціалізовані на правах обласних)</c:v>
                </c:pt>
                <c:pt idx="2">
                  <c:v>окружні прокуратури (місцеві, спеціалізовані на правах місцевих)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0.38</c:v>
                </c:pt>
                <c:pt idx="2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7-4BBF-8F41-820ECC3D5E1D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r>
              <a:rPr lang="ru-RU" sz="1300" b="1" i="1">
                <a:solidFill>
                  <a:schemeClr val="tx2"/>
                </a:solidFill>
                <a:latin typeface="+mj-lt"/>
              </a:rPr>
              <a:t>Притягнення</a:t>
            </a:r>
            <a:r>
              <a:rPr lang="ru-RU" sz="1300" b="1" i="1" baseline="0">
                <a:solidFill>
                  <a:schemeClr val="tx2"/>
                </a:solidFill>
                <a:latin typeface="+mj-lt"/>
              </a:rPr>
              <a:t> прокурорів до дисциплінарної відповідальності за п. 6 ч. 1 ст. 43 Закону України "Про прокуратуру"</a:t>
            </a:r>
            <a:endParaRPr lang="ru-RU" sz="1000" b="1" i="1">
              <a:solidFill>
                <a:schemeClr val="tx2"/>
              </a:solidFill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63673102279537885"/>
          <c:y val="0.22429415648197354"/>
          <c:w val="0.37493789654245974"/>
          <c:h val="0.6053449754424261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прокурорів, притягнутих до дисциплінарної відповідальності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  <a:tint val="100000"/>
                  <a:shade val="100000"/>
                  <a:satMod val="10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7EA-4A54-B6C6-4B24ABC096CC}"/>
              </c:ext>
            </c:extLst>
          </c:dPt>
          <c:dPt>
            <c:idx val="1"/>
            <c:bubble3D val="0"/>
            <c:spPr>
              <a:solidFill>
                <a:schemeClr val="accent3">
                  <a:tint val="100000"/>
                  <a:shade val="100000"/>
                  <a:satMod val="10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7EA-4A54-B6C6-4B24ABC096CC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  <a:tint val="100000"/>
                  <a:shade val="100000"/>
                  <a:satMod val="10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7EA-4A54-B6C6-4B24ABC096C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7EA-4A54-B6C6-4B24ABC096C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7EA-4A54-B6C6-4B24ABC096CC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22EE09CE-6DB9-4C36-9C4B-6421DD5246C3}" type="VALUE">
                      <a:rPr lang="en-US" sz="1100">
                        <a:solidFill>
                          <a:schemeClr val="bg1"/>
                        </a:solidFill>
                      </a:rPr>
                      <a:pPr>
                        <a:defRPr sz="1100" b="1">
                          <a:solidFill>
                            <a:schemeClr val="bg1"/>
                          </a:solidFill>
                          <a:latin typeface="+mj-lt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7EA-4A54-B6C6-4B24ABC096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звільнення з посади в органах прокуратури</c:v>
                </c:pt>
                <c:pt idx="1">
                  <c:v>заборона на строк до 1 року на переведення до органу прокуратури вищого рівня чи на призначення на вищу посаду в органі прокуратури, в якому прокурор обіймає посаду</c:v>
                </c:pt>
                <c:pt idx="2">
                  <c:v>догана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0.57999999999999996</c:v>
                </c:pt>
                <c:pt idx="1">
                  <c:v>0.13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EA-4A54-B6C6-4B24ABC09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293942587885173E-2"/>
          <c:y val="0.35401800235093311"/>
          <c:w val="0.47826250852501706"/>
          <c:h val="0.43330306104374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1" i="1">
                <a:solidFill>
                  <a:schemeClr val="tx2"/>
                </a:solidFill>
                <a:latin typeface="+mj-lt"/>
              </a:rPr>
              <a:t>Відомості</a:t>
            </a:r>
            <a:r>
              <a:rPr lang="ru-RU" sz="1300" b="1" i="1" baseline="0">
                <a:solidFill>
                  <a:schemeClr val="tx2"/>
                </a:solidFill>
                <a:latin typeface="+mj-lt"/>
              </a:rPr>
              <a:t> про кількість прокурорів, притягнутих до дисциплінарної відповідальності за п. 6 ч. 1 ст. 43 Закону України "Про прокуратуру"</a:t>
            </a:r>
            <a:br>
              <a:rPr lang="ru-RU" sz="1300" b="1" i="1" baseline="0">
                <a:solidFill>
                  <a:schemeClr val="tx2"/>
                </a:solidFill>
                <a:latin typeface="+mj-lt"/>
              </a:rPr>
            </a:br>
            <a:r>
              <a:rPr lang="ru-RU" sz="1100" b="1" i="1" baseline="0">
                <a:solidFill>
                  <a:schemeClr val="tx2"/>
                </a:solidFill>
                <a:latin typeface="+mj-lt"/>
              </a:rPr>
              <a:t>(за 2020 - 2021 роки та І півріччя 2022 року)</a:t>
            </a:r>
            <a:endParaRPr lang="ru-RU" sz="1100" b="1" i="1">
              <a:solidFill>
                <a:schemeClr val="tx2"/>
              </a:solidFill>
              <a:latin typeface="+mj-lt"/>
            </a:endParaRPr>
          </a:p>
        </c:rich>
      </c:tx>
      <c:layout>
        <c:manualLayout>
          <c:xMode val="edge"/>
          <c:yMode val="edge"/>
          <c:x val="8.2471714112658995E-2"/>
          <c:y val="3.17443610037177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951116495053503"/>
          <c:y val="0.35147231274753893"/>
          <c:w val="0.32991528366646472"/>
          <c:h val="0.5512723248925502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2"/>
            <c:spPr>
              <a:solidFill>
                <a:schemeClr val="accent2">
                  <a:tint val="65000"/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B0-49DF-9D46-3638512D4460}"/>
              </c:ext>
            </c:extLst>
          </c:dPt>
          <c:dPt>
            <c:idx val="1"/>
            <c:bubble3D val="0"/>
            <c:explosion val="7"/>
            <c:spPr>
              <a:solidFill>
                <a:schemeClr val="accent2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B0-49DF-9D46-3638512D4460}"/>
              </c:ext>
            </c:extLst>
          </c:dPt>
          <c:dPt>
            <c:idx val="2"/>
            <c:bubble3D val="0"/>
            <c:explosion val="12"/>
            <c:spPr>
              <a:solidFill>
                <a:schemeClr val="accent2">
                  <a:shade val="65000"/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B0-49DF-9D46-3638512D446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EB0-49DF-9D46-3638512D446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C35C2DD8-F41E-42C0-BC22-F48784727521}" type="VALUE">
                      <a:rPr lang="en-US" sz="1100" b="1">
                        <a:latin typeface="+mj-lt"/>
                      </a:rPr>
                      <a:pPr>
                        <a:defRPr sz="1100" b="1">
                          <a:solidFill>
                            <a:schemeClr val="bg1"/>
                          </a:solidFill>
                          <a:latin typeface="+mj-lt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EB0-49DF-9D46-3638512D446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A657CA6-3680-45A0-B05F-9CAC67F54A2C}" type="VALUE">
                      <a:rPr lang="en-US" b="1">
                        <a:solidFill>
                          <a:schemeClr val="bg1"/>
                        </a:solidFill>
                        <a:latin typeface="+mj-lt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EB0-49DF-9D46-3638512D44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Офіс Генерального прокурора (Генеральна прокуратура України)</c:v>
                </c:pt>
                <c:pt idx="1">
                  <c:v>обласні прокуратури (регіональні, спеціалізовані на правах обласних)</c:v>
                </c:pt>
                <c:pt idx="2">
                  <c:v>окружні прокуратури (місцеві, спеціалізовані на правах місцевих)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0.11</c:v>
                </c:pt>
                <c:pt idx="1">
                  <c:v>0.19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B0-49DF-9D46-3638512D446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chemeClr val="bg1"/>
        </a:solidFill>
        <a:ln w="25400">
          <a:solidFill>
            <a:schemeClr val="bg1"/>
          </a:solidFill>
        </a:ln>
        <a:effectLst/>
      </c:spPr>
    </c:plotArea>
    <c:legend>
      <c:legendPos val="l"/>
      <c:layout>
        <c:manualLayout>
          <c:xMode val="edge"/>
          <c:yMode val="edge"/>
          <c:x val="1.2307692307692308E-2"/>
          <c:y val="0.48081020720738954"/>
          <c:w val="0.43440016151827177"/>
          <c:h val="0.39313509975777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Результати вирішення питання про </a:t>
            </a:r>
            <a:b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відкриття дисциплінарного провадження за </a:t>
            </a:r>
            <a:b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скаргами про порушення правил прокрорської</a:t>
            </a:r>
            <a:b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kumimoji="0" lang="ru-RU" sz="13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етики </a:t>
            </a:r>
            <a:r>
              <a:rPr kumimoji="0" lang="ru-RU" sz="1100" b="1" i="1" u="none" strike="noStrike" kern="1200" cap="none" spc="0" normalizeH="0" baseline="0" noProof="0">
                <a:ln>
                  <a:noFill/>
                </a:ln>
                <a:solidFill>
                  <a:srgbClr val="082A75"/>
                </a:solidFill>
                <a:effectLst/>
                <a:uLnTx/>
                <a:uFillTx/>
                <a:latin typeface="Arial" panose="020B0604020202020204" pitchFamily="34" charset="0"/>
                <a:cs typeface="Arial" panose="020B0604020202020204" pitchFamily="34" charset="0"/>
              </a:rPr>
              <a:t>(за 2020 - 2021 роки та І півріччя 2022 року)</a:t>
            </a:r>
            <a:endParaRPr lang="ru-RU" sz="1100" b="1" i="1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0800338346332305E-2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67630074676684371"/>
          <c:y val="0.29608173978252716"/>
          <c:w val="0.24293001289530752"/>
          <c:h val="0.78137549879435797"/>
        </c:manualLayout>
      </c:layout>
      <c:doughnutChart>
        <c:varyColors val="1"/>
        <c:ser>
          <c:idx val="0"/>
          <c:order val="0"/>
          <c:tx>
            <c:strRef>
              <c:f>Лист1!$B$2:$B$3</c:f>
              <c:strCache>
                <c:ptCount val="2"/>
                <c:pt idx="0">
                  <c:v>27%</c:v>
                </c:pt>
                <c:pt idx="1">
                  <c:v>73%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2D-4AE3-AB13-6C02D3074795}"/>
              </c:ext>
            </c:extLst>
          </c:dPt>
          <c:dPt>
            <c:idx val="1"/>
            <c:bubble3D val="0"/>
            <c:spPr>
              <a:solidFill>
                <a:schemeClr val="accent2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2D-4AE3-AB13-6C02D30747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Відкрито дисциплінарних проваджень</c:v>
                </c:pt>
                <c:pt idx="1">
                  <c:v>Відмовлено у відкритті дисциплінарних проваджень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0.27</c:v>
                </c:pt>
                <c:pt idx="1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2D-4AE3-AB13-6C02D30747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729310494955902E-2"/>
          <c:y val="0.667140607424072"/>
          <c:w val="0.57721436479207866"/>
          <c:h val="0.25962894638170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j-lt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300" b="1" i="1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Результати</a:t>
            </a:r>
            <a:r>
              <a:rPr lang="uk-UA" sz="1300" b="1" i="1" baseline="0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вирішення питання про відкриття дисциплінарного провадження за скаргами про порушення правил прокурорської етики</a:t>
            </a:r>
            <a:br>
              <a:rPr lang="uk-UA" sz="1300" b="1" i="1" baseline="0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uk-UA" sz="1100" b="1" i="1" baseline="0">
                <a:solidFill>
                  <a:schemeClr val="tx2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(окремо за кожен рік)</a:t>
            </a:r>
            <a:endParaRPr lang="ru-RU" sz="1100" b="1" i="1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6666666666666666E-2"/>
          <c:y val="0.21017375466589103"/>
          <c:w val="0.95416666666666672"/>
          <c:h val="0.570853087808468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Відмовлено у відкритті дисциплінарних проваджень</c:v>
                </c:pt>
              </c:strCache>
            </c:strRef>
          </c:tx>
          <c:spPr>
            <a:solidFill>
              <a:schemeClr val="accent1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2020 рік</c:v>
                </c:pt>
                <c:pt idx="1">
                  <c:v>2021 рік</c:v>
                </c:pt>
                <c:pt idx="2">
                  <c:v>І півріччя 2022 року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0.68</c:v>
                </c:pt>
                <c:pt idx="1">
                  <c:v>0.81</c:v>
                </c:pt>
                <c:pt idx="2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6-4ADA-B487-CFD60DBFFD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Відкрито дисциплінарних проваджень</c:v>
                </c:pt>
              </c:strCache>
            </c:strRef>
          </c:tx>
          <c:spPr>
            <a:solidFill>
              <a:schemeClr val="accent2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2020 рік</c:v>
                </c:pt>
                <c:pt idx="1">
                  <c:v>2021 рік</c:v>
                </c:pt>
                <c:pt idx="2">
                  <c:v>І півріччя 2022 року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0.32</c:v>
                </c:pt>
                <c:pt idx="1">
                  <c:v>0.19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C6-4ADA-B487-CFD60DBFFDD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31066464"/>
        <c:axId val="531065808"/>
      </c:barChart>
      <c:catAx>
        <c:axId val="53106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531065808"/>
        <c:crosses val="autoZero"/>
        <c:auto val="1"/>
        <c:lblAlgn val="ctr"/>
        <c:lblOffset val="100"/>
        <c:noMultiLvlLbl val="0"/>
      </c:catAx>
      <c:valAx>
        <c:axId val="53106580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3106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r>
              <a:rPr lang="ru-RU" sz="1300" b="1" i="1">
                <a:solidFill>
                  <a:schemeClr val="tx2"/>
                </a:solidFill>
                <a:latin typeface="+mj-lt"/>
              </a:rPr>
              <a:t>Відомості про закриття дисциплінарних проваджень</a:t>
            </a:r>
            <a:r>
              <a:rPr lang="ru-RU" sz="1300" b="1" i="1" baseline="0">
                <a:solidFill>
                  <a:schemeClr val="tx2"/>
                </a:solidFill>
                <a:latin typeface="+mj-lt"/>
              </a:rPr>
              <a:t> за скаргами про порушення правил прокурської етики</a:t>
            </a:r>
            <a:br>
              <a:rPr lang="ru-RU" sz="1300" b="1" i="1" baseline="0">
                <a:solidFill>
                  <a:schemeClr val="tx2"/>
                </a:solidFill>
                <a:latin typeface="+mj-lt"/>
              </a:rPr>
            </a:br>
            <a:r>
              <a:rPr lang="ru-RU" sz="1100" b="1" i="1">
                <a:solidFill>
                  <a:schemeClr val="tx2"/>
                </a:solidFill>
                <a:latin typeface="+mj-lt"/>
              </a:rPr>
              <a:t>(окремо</a:t>
            </a:r>
            <a:r>
              <a:rPr lang="ru-RU" sz="1100" b="1" i="1" baseline="0">
                <a:solidFill>
                  <a:schemeClr val="tx2"/>
                </a:solidFill>
                <a:latin typeface="+mj-lt"/>
              </a:rPr>
              <a:t> за кожен рік</a:t>
            </a:r>
            <a:r>
              <a:rPr lang="ru-RU" sz="1100" b="1" i="1">
                <a:solidFill>
                  <a:schemeClr val="tx2"/>
                </a:solidFill>
                <a:latin typeface="+mj-lt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6619075371484079"/>
          <c:y val="0.2649654096752283"/>
          <c:w val="0.77711633289933246"/>
          <c:h val="0.623320307183824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прокурорів, стосовно яких прийнято рішення</c:v>
                </c:pt>
              </c:strCache>
            </c:strRef>
          </c:tx>
          <c:spPr>
            <a:solidFill>
              <a:schemeClr val="accent6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22EE09CE-6DB9-4C36-9C4B-6421DD5246C3}" type="VALUE">
                      <a:rPr lang="en-US">
                        <a:solidFill>
                          <a:schemeClr val="tx2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F64-4F65-8903-8C1E7F600D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І півріччя 2022 року</c:v>
                </c:pt>
                <c:pt idx="1">
                  <c:v>2021 рік</c:v>
                </c:pt>
                <c:pt idx="2">
                  <c:v>2020 рік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28</c:v>
                </c:pt>
                <c:pt idx="2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64-4F65-8903-8C1E7F600D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рішень про закриття дисциплінарних проваджень</c:v>
                </c:pt>
              </c:strCache>
            </c:strRef>
          </c:tx>
          <c:spPr>
            <a:solidFill>
              <a:schemeClr val="accent5">
                <a:tint val="100000"/>
                <a:shade val="100000"/>
                <a:satMod val="10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І півріччя 2022 року</c:v>
                </c:pt>
                <c:pt idx="1">
                  <c:v>2021 рік</c:v>
                </c:pt>
                <c:pt idx="2">
                  <c:v>2020 рік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18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64-4F65-8903-8C1E7F600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5038936"/>
        <c:axId val="495039592"/>
      </c:barChart>
      <c:catAx>
        <c:axId val="495038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j-lt"/>
                <a:ea typeface="+mn-ea"/>
                <a:cs typeface="+mn-cs"/>
              </a:defRPr>
            </a:pPr>
            <a:endParaRPr lang="ru-RU"/>
          </a:p>
        </c:txPr>
        <c:crossAx val="495039592"/>
        <c:crosses val="autoZero"/>
        <c:auto val="1"/>
        <c:lblAlgn val="ctr"/>
        <c:lblOffset val="100"/>
        <c:noMultiLvlLbl val="0"/>
      </c:catAx>
      <c:valAx>
        <c:axId val="4950395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95038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703069006138013"/>
          <c:y val="0.71596387512263837"/>
          <c:w val="0.73457035980738628"/>
          <c:h val="0.15029995052535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2022-09-27T09:48:00Z</cp:lastPrinted>
  <dcterms:created xsi:type="dcterms:W3CDTF">2022-09-27T06:12:00Z</dcterms:created>
  <dcterms:modified xsi:type="dcterms:W3CDTF">2022-09-27T10:01:00Z</dcterms:modified>
</cp:coreProperties>
</file>